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bookmarkStart w:id="0" w:name="_GoBack"/>
      <w:bookmarkEnd w:id="0"/>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74538377"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D26B3C">
        <w:rPr>
          <w:rFonts w:ascii="Times New Roman" w:hAnsi="Times New Roman" w:cs="Times New Roman"/>
          <w:b/>
          <w:bCs/>
          <w:color w:val="000000" w:themeColor="text1"/>
          <w:sz w:val="24"/>
          <w:szCs w:val="24"/>
          <w:lang w:val="es-ES_tradnl"/>
        </w:rPr>
        <w:t>7 de abril</w:t>
      </w:r>
      <w:r w:rsidR="00294C82">
        <w:rPr>
          <w:rFonts w:ascii="Times New Roman" w:hAnsi="Times New Roman" w:cs="Times New Roman"/>
          <w:b/>
          <w:bCs/>
          <w:color w:val="000000" w:themeColor="text1"/>
          <w:sz w:val="24"/>
          <w:szCs w:val="24"/>
          <w:lang w:val="es-ES_tradnl"/>
        </w:rPr>
        <w:t xml:space="preserve"> de 2021</w:t>
      </w:r>
    </w:p>
    <w:p w14:paraId="151E878B" w14:textId="0819AB52" w:rsidR="00C87D57" w:rsidRPr="009561E7"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Cateques</w:t>
      </w:r>
      <w:r w:rsidR="009561E7">
        <w:rPr>
          <w:rFonts w:ascii="Times New Roman" w:hAnsi="Times New Roman" w:cs="Times New Roman"/>
          <w:b/>
          <w:bCs/>
          <w:color w:val="000000" w:themeColor="text1"/>
          <w:sz w:val="24"/>
          <w:szCs w:val="24"/>
          <w:lang w:val="es-ES_tradnl"/>
        </w:rPr>
        <w:t>is</w:t>
      </w:r>
      <w:r w:rsidR="00C31614">
        <w:rPr>
          <w:rFonts w:ascii="Times New Roman" w:hAnsi="Times New Roman" w:cs="Times New Roman"/>
          <w:b/>
          <w:bCs/>
          <w:color w:val="000000" w:themeColor="text1"/>
          <w:sz w:val="24"/>
          <w:szCs w:val="24"/>
          <w:lang w:val="es-ES_tradnl"/>
        </w:rPr>
        <w:t xml:space="preserve"> sobre la oración:</w:t>
      </w:r>
      <w:r w:rsidRPr="009561E7">
        <w:rPr>
          <w:rFonts w:ascii="Times New Roman" w:hAnsi="Times New Roman" w:cs="Times New Roman"/>
          <w:b/>
          <w:bCs/>
          <w:color w:val="000000" w:themeColor="text1"/>
          <w:sz w:val="24"/>
          <w:szCs w:val="24"/>
          <w:lang w:val="es-ES_tradnl"/>
        </w:rPr>
        <w:t xml:space="preserve"> </w:t>
      </w:r>
      <w:r w:rsidR="00F926F4">
        <w:rPr>
          <w:rFonts w:ascii="Times New Roman" w:hAnsi="Times New Roman" w:cs="Times New Roman"/>
          <w:b/>
          <w:bCs/>
          <w:color w:val="000000" w:themeColor="text1"/>
          <w:sz w:val="24"/>
          <w:szCs w:val="24"/>
          <w:lang w:val="es-ES_tradnl"/>
        </w:rPr>
        <w:t>2</w:t>
      </w:r>
      <w:r w:rsidR="00D26B3C">
        <w:rPr>
          <w:rFonts w:ascii="Times New Roman" w:hAnsi="Times New Roman" w:cs="Times New Roman"/>
          <w:b/>
          <w:bCs/>
          <w:color w:val="000000" w:themeColor="text1"/>
          <w:sz w:val="24"/>
          <w:szCs w:val="24"/>
          <w:lang w:val="es-ES_tradnl"/>
        </w:rPr>
        <w:t>8</w:t>
      </w:r>
      <w:r w:rsidR="00C31614">
        <w:rPr>
          <w:rFonts w:ascii="Times New Roman" w:hAnsi="Times New Roman" w:cs="Times New Roman"/>
          <w:b/>
          <w:bCs/>
          <w:color w:val="000000" w:themeColor="text1"/>
          <w:sz w:val="24"/>
          <w:szCs w:val="24"/>
          <w:lang w:val="es-ES_tradnl"/>
        </w:rPr>
        <w:t xml:space="preserve">. </w:t>
      </w:r>
      <w:r w:rsidR="00D26B3C">
        <w:rPr>
          <w:rFonts w:ascii="Times New Roman" w:hAnsi="Times New Roman" w:cs="Times New Roman"/>
          <w:b/>
          <w:bCs/>
          <w:color w:val="000000" w:themeColor="text1"/>
          <w:sz w:val="24"/>
          <w:szCs w:val="24"/>
          <w:lang w:val="es-ES_tradnl"/>
        </w:rPr>
        <w:t>Rezar en comunión con los santos</w:t>
      </w:r>
    </w:p>
    <w:p w14:paraId="795BF759" w14:textId="77777777" w:rsidR="004C409A" w:rsidRPr="009561E7" w:rsidRDefault="004C409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26E3DAB4" w14:textId="77777777" w:rsidR="00D26B3C" w:rsidRPr="00D26B3C" w:rsidRDefault="00D26B3C" w:rsidP="00D26B3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26B3C">
        <w:rPr>
          <w:rFonts w:ascii="Times New Roman" w:eastAsia="Times New Roman" w:hAnsi="Times New Roman" w:cs="Times New Roman"/>
          <w:color w:val="000000" w:themeColor="text1"/>
          <w:sz w:val="24"/>
          <w:szCs w:val="24"/>
          <w:lang w:val="es-ES_tradnl" w:eastAsia="es-ES" w:bidi="th-TH"/>
        </w:rPr>
        <w:t>Hoy quisiera reflexionar sobre la relación entre la oración y la comunión de los santos. De hecho, cuando rezamos, nunca lo hacemos solos: aunque no lo pensemos, estamos inmersos en un majestuoso río de invocaciones que nos precede y continúa después de nosotros.</w:t>
      </w:r>
    </w:p>
    <w:p w14:paraId="46E2EF2F" w14:textId="58E248E0" w:rsidR="00D26B3C" w:rsidRPr="00D26B3C" w:rsidRDefault="00D26B3C" w:rsidP="00D26B3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26B3C">
        <w:rPr>
          <w:rFonts w:ascii="Times New Roman" w:eastAsia="Times New Roman" w:hAnsi="Times New Roman" w:cs="Times New Roman"/>
          <w:color w:val="000000" w:themeColor="text1"/>
          <w:sz w:val="24"/>
          <w:szCs w:val="24"/>
          <w:lang w:val="es-ES_tradnl" w:eastAsia="es-ES" w:bidi="th-TH"/>
        </w:rPr>
        <w:t>En las oraciones que encontramos en la Biblia, y que a menudo resuenan en la liturgia, vemos la huella de historias antiguas, de liberaciones prodigiosas, de deportaciones y tristes exilios, de regresos conmovidos, de alabanzas derramadas ante las maravillas de la creación</w:t>
      </w:r>
      <w:r w:rsidR="00D479AC">
        <w:rPr>
          <w:rFonts w:ascii="Times New Roman" w:eastAsia="Times New Roman" w:hAnsi="Times New Roman" w:cs="Times New Roman"/>
          <w:color w:val="000000" w:themeColor="text1"/>
          <w:sz w:val="24"/>
          <w:szCs w:val="24"/>
          <w:lang w:val="es-ES_tradnl" w:eastAsia="es-ES" w:bidi="th-TH"/>
        </w:rPr>
        <w:t>…</w:t>
      </w:r>
      <w:r w:rsidRPr="00D26B3C">
        <w:rPr>
          <w:rFonts w:ascii="Times New Roman" w:eastAsia="Times New Roman" w:hAnsi="Times New Roman" w:cs="Times New Roman"/>
          <w:color w:val="000000" w:themeColor="text1"/>
          <w:sz w:val="24"/>
          <w:szCs w:val="24"/>
          <w:lang w:val="es-ES_tradnl" w:eastAsia="es-ES" w:bidi="th-TH"/>
        </w:rPr>
        <w:t xml:space="preserve"> Y así estas voces se difunden de generación en generación, en una relación continua entre la experiencia personal y la del pueblo y la humanidad a la que pertenecemos. Nadie puede desprenderse de su propia historia, de la historia de su propio pueblo, siempre llevamos esta herencia en nuestras costumbres y también en la oración. En la oración de alabanza, especialmente en la que brota del corazón de los pequeños y los humildes, resuena algo del cántico del Magnificat que María elevó a Dios ante su pariente Isabel; o de la exclamación del anciano Simeón que, tomando al Niño Jesús en sus brazos, dijo así: «Ahora Señor, puedes, según tu palabra, dejar que tu siervo se vaya en paz» (Lc 2,29).</w:t>
      </w:r>
    </w:p>
    <w:p w14:paraId="6BBF5CB3" w14:textId="6E3E6BF6" w:rsidR="00D26B3C" w:rsidRPr="00D26B3C" w:rsidRDefault="00D26B3C" w:rsidP="00D26B3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26B3C">
        <w:rPr>
          <w:rFonts w:ascii="Times New Roman" w:eastAsia="Times New Roman" w:hAnsi="Times New Roman" w:cs="Times New Roman"/>
          <w:color w:val="000000" w:themeColor="text1"/>
          <w:sz w:val="24"/>
          <w:szCs w:val="24"/>
          <w:lang w:val="es-ES_tradnl" w:eastAsia="es-ES" w:bidi="th-TH"/>
        </w:rPr>
        <w:t xml:space="preserve">Las oraciones —las buenas— son </w:t>
      </w:r>
      <w:r>
        <w:rPr>
          <w:rFonts w:ascii="Times New Roman" w:eastAsia="Times New Roman" w:hAnsi="Times New Roman" w:cs="Times New Roman"/>
          <w:color w:val="000000" w:themeColor="text1"/>
          <w:sz w:val="24"/>
          <w:szCs w:val="24"/>
          <w:lang w:val="es-ES_tradnl" w:eastAsia="es-ES" w:bidi="th-TH"/>
        </w:rPr>
        <w:t>«difusivas»</w:t>
      </w:r>
      <w:r w:rsidRPr="00D26B3C">
        <w:rPr>
          <w:rFonts w:ascii="Times New Roman" w:eastAsia="Times New Roman" w:hAnsi="Times New Roman" w:cs="Times New Roman"/>
          <w:color w:val="000000" w:themeColor="text1"/>
          <w:sz w:val="24"/>
          <w:szCs w:val="24"/>
          <w:lang w:val="es-ES_tradnl" w:eastAsia="es-ES" w:bidi="th-TH"/>
        </w:rPr>
        <w:t>, se propagan continuamente, con o sin mensajes en las redes sociales: desde las salas del hospital, desde las reuniones festivas y hasta desde los momentos en que se sufre en silencio</w:t>
      </w:r>
      <w:r w:rsidR="002531B0">
        <w:rPr>
          <w:rFonts w:ascii="Times New Roman" w:eastAsia="Times New Roman" w:hAnsi="Times New Roman" w:cs="Times New Roman"/>
          <w:color w:val="000000" w:themeColor="text1"/>
          <w:sz w:val="24"/>
          <w:szCs w:val="24"/>
          <w:lang w:val="es-ES_tradnl" w:eastAsia="es-ES" w:bidi="th-TH"/>
        </w:rPr>
        <w:t>…</w:t>
      </w:r>
      <w:r w:rsidRPr="00D26B3C">
        <w:rPr>
          <w:rFonts w:ascii="Times New Roman" w:eastAsia="Times New Roman" w:hAnsi="Times New Roman" w:cs="Times New Roman"/>
          <w:color w:val="000000" w:themeColor="text1"/>
          <w:sz w:val="24"/>
          <w:szCs w:val="24"/>
          <w:lang w:val="es-ES_tradnl" w:eastAsia="es-ES" w:bidi="th-TH"/>
        </w:rPr>
        <w:t xml:space="preserve"> El dolor de cada uno es el dolor de todos, y la felicidad de uno se derrama sobre el alma de los demás. El dolor y la felicidad son parte de la única historia: son historias que se convierten en historia en la propia vida. Se revive la historia con palabras propias, pero la experiencia es la misma.</w:t>
      </w:r>
    </w:p>
    <w:p w14:paraId="63B786E0" w14:textId="77777777" w:rsidR="00D26B3C" w:rsidRPr="00D26B3C" w:rsidRDefault="00D26B3C" w:rsidP="00D26B3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26B3C">
        <w:rPr>
          <w:rFonts w:ascii="Times New Roman" w:eastAsia="Times New Roman" w:hAnsi="Times New Roman" w:cs="Times New Roman"/>
          <w:color w:val="000000" w:themeColor="text1"/>
          <w:sz w:val="24"/>
          <w:szCs w:val="24"/>
          <w:lang w:val="es-ES_tradnl" w:eastAsia="es-ES" w:bidi="th-TH"/>
        </w:rPr>
        <w:t>Las oraciones siempre renacen: cada vez que juntamos las manos y abrimos nuestro corazón a Dios, nos encontramos en compañía de santos anónimos y santos reconocidos que rezan con nosotros, y que interceden por nosotros, como hermanos y hermanas mayores que han pasado por nuestra misma aventura humana. En la Iglesia no hay duelo solitario, no hay lágrima que caiga en el olvido, porque todo respira y participa de una gracia común. No es una casualidad que en las iglesias antiguas las sepulturas estuvieran en el jardín alrededor del edificio sagrado, como para decir que la multitud de los que nos precedieron participa de alguna manera en cada Eucaristía. Están nuestros padres y abuelos, nuestros padrinos y madrinas, los catequistas y otros educadores… Esa fe transmitida, que hemos recibido: con la fe se ha transmitido también la forma de orar, la oración.</w:t>
      </w:r>
    </w:p>
    <w:p w14:paraId="2324B5C8" w14:textId="4283C4C8" w:rsidR="00D26B3C" w:rsidRPr="00D26B3C" w:rsidRDefault="00D26B3C" w:rsidP="00D26B3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26B3C">
        <w:rPr>
          <w:rFonts w:ascii="Times New Roman" w:eastAsia="Times New Roman" w:hAnsi="Times New Roman" w:cs="Times New Roman"/>
          <w:color w:val="000000" w:themeColor="text1"/>
          <w:sz w:val="24"/>
          <w:szCs w:val="24"/>
          <w:lang w:val="es-ES_tradnl" w:eastAsia="es-ES" w:bidi="th-TH"/>
        </w:rPr>
        <w:t xml:space="preserve">Los santos todavía están aquí, no lejos de nosotros; y sus representaciones en las iglesias evocan esa </w:t>
      </w:r>
      <w:r>
        <w:rPr>
          <w:rFonts w:ascii="Times New Roman" w:eastAsia="Times New Roman" w:hAnsi="Times New Roman" w:cs="Times New Roman"/>
          <w:color w:val="000000" w:themeColor="text1"/>
          <w:sz w:val="24"/>
          <w:szCs w:val="24"/>
          <w:lang w:val="es-ES_tradnl" w:eastAsia="es-ES" w:bidi="th-TH"/>
        </w:rPr>
        <w:t>«</w:t>
      </w:r>
      <w:r w:rsidRPr="00D26B3C">
        <w:rPr>
          <w:rFonts w:ascii="Times New Roman" w:eastAsia="Times New Roman" w:hAnsi="Times New Roman" w:cs="Times New Roman"/>
          <w:color w:val="000000" w:themeColor="text1"/>
          <w:sz w:val="24"/>
          <w:szCs w:val="24"/>
          <w:lang w:val="es-ES_tradnl" w:eastAsia="es-ES" w:bidi="th-TH"/>
        </w:rPr>
        <w:t>nube de testigos</w:t>
      </w:r>
      <w:r>
        <w:rPr>
          <w:rFonts w:ascii="Times New Roman" w:eastAsia="Times New Roman" w:hAnsi="Times New Roman" w:cs="Times New Roman"/>
          <w:color w:val="000000" w:themeColor="text1"/>
          <w:sz w:val="24"/>
          <w:szCs w:val="24"/>
          <w:lang w:val="es-ES_tradnl" w:eastAsia="es-ES" w:bidi="th-TH"/>
        </w:rPr>
        <w:t>»</w:t>
      </w:r>
      <w:r w:rsidRPr="00D26B3C">
        <w:rPr>
          <w:rFonts w:ascii="Times New Roman" w:eastAsia="Times New Roman" w:hAnsi="Times New Roman" w:cs="Times New Roman"/>
          <w:color w:val="000000" w:themeColor="text1"/>
          <w:sz w:val="24"/>
          <w:szCs w:val="24"/>
          <w:lang w:val="es-ES_tradnl" w:eastAsia="es-ES" w:bidi="th-TH"/>
        </w:rPr>
        <w:t xml:space="preserve"> que siempre nos rodea (cf. Hb 12, 1). Hemos escuchado al principio la lectura del pasaje de la Carta a los Hebreo</w:t>
      </w:r>
      <w:r>
        <w:rPr>
          <w:rFonts w:ascii="Times New Roman" w:eastAsia="Times New Roman" w:hAnsi="Times New Roman" w:cs="Times New Roman"/>
          <w:color w:val="000000" w:themeColor="text1"/>
          <w:sz w:val="24"/>
          <w:szCs w:val="24"/>
          <w:lang w:val="es-ES_tradnl" w:eastAsia="es-ES" w:bidi="th-TH"/>
        </w:rPr>
        <w:t xml:space="preserve">s. Son testigos que no adoramos </w:t>
      </w:r>
      <w:r>
        <w:rPr>
          <w:rFonts w:ascii="Times New Roman" w:eastAsia="Times New Roman" w:hAnsi="Times New Roman" w:cs="Times New Roman"/>
          <w:color w:val="000000" w:themeColor="text1"/>
          <w:sz w:val="24"/>
          <w:szCs w:val="24"/>
          <w:lang w:val="es-ES_tradnl" w:eastAsia="es-ES" w:bidi="th-TH"/>
        </w:rPr>
        <w:br/>
      </w:r>
      <w:r w:rsidRPr="00D26B3C">
        <w:rPr>
          <w:rFonts w:ascii="Times New Roman" w:eastAsia="Times New Roman" w:hAnsi="Times New Roman" w:cs="Times New Roman"/>
          <w:color w:val="000000" w:themeColor="text1"/>
          <w:sz w:val="24"/>
          <w:szCs w:val="24"/>
          <w:lang w:val="es-ES_tradnl" w:eastAsia="es-ES" w:bidi="th-TH"/>
        </w:rPr>
        <w:t xml:space="preserve">—por supuesto, no adoramos a estos santos—, pero que veneramos y que de mil maneras diferentes nos remiten a Jesucristo, único Señor y Mediador entre Dios y el hombre. Un </w:t>
      </w:r>
      <w:r w:rsidRPr="00D26B3C">
        <w:rPr>
          <w:rFonts w:ascii="Times New Roman" w:eastAsia="Times New Roman" w:hAnsi="Times New Roman" w:cs="Times New Roman"/>
          <w:color w:val="000000" w:themeColor="text1"/>
          <w:sz w:val="24"/>
          <w:szCs w:val="24"/>
          <w:lang w:val="es-ES_tradnl" w:eastAsia="es-ES" w:bidi="th-TH"/>
        </w:rPr>
        <w:lastRenderedPageBreak/>
        <w:t xml:space="preserve">santo que no te remite a Jesucristo no es un santo, ni siquiera cristiano. El Santo te recuerda a Jesucristo porque recorrió el camino de la vida como cristiano. Los santos nos recuerdan que también en nuestra vida, aunque débil y marcada por el pecado, la santidad puede florecer. Leemos en los Evangelios que el primer santo </w:t>
      </w:r>
      <w:r>
        <w:rPr>
          <w:rFonts w:ascii="Times New Roman" w:eastAsia="Times New Roman" w:hAnsi="Times New Roman" w:cs="Times New Roman"/>
          <w:color w:val="000000" w:themeColor="text1"/>
          <w:sz w:val="24"/>
          <w:szCs w:val="24"/>
          <w:lang w:val="es-ES_tradnl" w:eastAsia="es-ES" w:bidi="th-TH"/>
        </w:rPr>
        <w:t>«</w:t>
      </w:r>
      <w:r w:rsidRPr="00D26B3C">
        <w:rPr>
          <w:rFonts w:ascii="Times New Roman" w:eastAsia="Times New Roman" w:hAnsi="Times New Roman" w:cs="Times New Roman"/>
          <w:color w:val="000000" w:themeColor="text1"/>
          <w:sz w:val="24"/>
          <w:szCs w:val="24"/>
          <w:lang w:val="es-ES_tradnl" w:eastAsia="es-ES" w:bidi="th-TH"/>
        </w:rPr>
        <w:t>canonizado</w:t>
      </w:r>
      <w:r>
        <w:rPr>
          <w:rFonts w:ascii="Times New Roman" w:eastAsia="Times New Roman" w:hAnsi="Times New Roman" w:cs="Times New Roman"/>
          <w:color w:val="000000" w:themeColor="text1"/>
          <w:sz w:val="24"/>
          <w:szCs w:val="24"/>
          <w:lang w:val="es-ES_tradnl" w:eastAsia="es-ES" w:bidi="th-TH"/>
        </w:rPr>
        <w:t>»</w:t>
      </w:r>
      <w:r w:rsidRPr="00D26B3C">
        <w:rPr>
          <w:rFonts w:ascii="Times New Roman" w:eastAsia="Times New Roman" w:hAnsi="Times New Roman" w:cs="Times New Roman"/>
          <w:color w:val="000000" w:themeColor="text1"/>
          <w:sz w:val="24"/>
          <w:szCs w:val="24"/>
          <w:lang w:val="es-ES_tradnl" w:eastAsia="es-ES" w:bidi="th-TH"/>
        </w:rPr>
        <w:t xml:space="preserve"> fue un ladrón y fue </w:t>
      </w:r>
      <w:r>
        <w:rPr>
          <w:rFonts w:ascii="Times New Roman" w:eastAsia="Times New Roman" w:hAnsi="Times New Roman" w:cs="Times New Roman"/>
          <w:color w:val="000000" w:themeColor="text1"/>
          <w:sz w:val="24"/>
          <w:szCs w:val="24"/>
          <w:lang w:val="es-ES_tradnl" w:eastAsia="es-ES" w:bidi="th-TH"/>
        </w:rPr>
        <w:t>«</w:t>
      </w:r>
      <w:r w:rsidRPr="00D26B3C">
        <w:rPr>
          <w:rFonts w:ascii="Times New Roman" w:eastAsia="Times New Roman" w:hAnsi="Times New Roman" w:cs="Times New Roman"/>
          <w:color w:val="000000" w:themeColor="text1"/>
          <w:sz w:val="24"/>
          <w:szCs w:val="24"/>
          <w:lang w:val="es-ES_tradnl" w:eastAsia="es-ES" w:bidi="th-TH"/>
        </w:rPr>
        <w:t>canonizado</w:t>
      </w:r>
      <w:r>
        <w:rPr>
          <w:rFonts w:ascii="Times New Roman" w:eastAsia="Times New Roman" w:hAnsi="Times New Roman" w:cs="Times New Roman"/>
          <w:color w:val="000000" w:themeColor="text1"/>
          <w:sz w:val="24"/>
          <w:szCs w:val="24"/>
          <w:lang w:val="es-ES_tradnl" w:eastAsia="es-ES" w:bidi="th-TH"/>
        </w:rPr>
        <w:t>»</w:t>
      </w:r>
      <w:r w:rsidRPr="00D26B3C">
        <w:rPr>
          <w:rFonts w:ascii="Times New Roman" w:eastAsia="Times New Roman" w:hAnsi="Times New Roman" w:cs="Times New Roman"/>
          <w:color w:val="000000" w:themeColor="text1"/>
          <w:sz w:val="24"/>
          <w:szCs w:val="24"/>
          <w:lang w:val="es-ES_tradnl" w:eastAsia="es-ES" w:bidi="th-TH"/>
        </w:rPr>
        <w:t xml:space="preserve"> no por un Papa, sino por el mismo Jesús. La santidad es un camino de vida, de encuentro con Jesús, ya sea largo, corto, o un instante, pero siempre es un testimonio. Un santo es el testimonio de un hombre o una mujer que han conocido a Jesús y han seguido a Jesús. Nunca es tarde para convertirse al Señor, bueno y grande en el amor (cf. Sal 102, 8).</w:t>
      </w:r>
    </w:p>
    <w:p w14:paraId="0F33B8FF" w14:textId="77777777" w:rsidR="00D26B3C" w:rsidRPr="00D26B3C" w:rsidRDefault="00D26B3C" w:rsidP="00D26B3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26B3C">
        <w:rPr>
          <w:rFonts w:ascii="Times New Roman" w:eastAsia="Times New Roman" w:hAnsi="Times New Roman" w:cs="Times New Roman"/>
          <w:color w:val="000000" w:themeColor="text1"/>
          <w:sz w:val="24"/>
          <w:szCs w:val="24"/>
          <w:lang w:val="es-ES_tradnl" w:eastAsia="es-ES" w:bidi="th-TH"/>
        </w:rPr>
        <w:t>El Catecismo explica que los santos «contemplan a Dios, lo alaban y no dejan de cuidar de aquéllos que han quedado en la tierra. […] Su intercesión es su más alto servicio al plan de Dios. Podemos y debemos rogarles que intercedan por nosotros y por el mundo entero» (CCE, 2683). En Cristo hay una solidaridad misteriosa entre los que han pasado a la otra vida y nosotros los peregrinos en esta: nuestros seres queridos fallecidos continúan cuidándonos desde el Cielo. Rezan por nosotros y nosotros rezamos por ellos, y rezamos con ellos.</w:t>
      </w:r>
    </w:p>
    <w:p w14:paraId="722FBF29" w14:textId="715DBABD" w:rsidR="00D26B3C" w:rsidRPr="00D26B3C" w:rsidRDefault="00D26B3C" w:rsidP="00D26B3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26B3C">
        <w:rPr>
          <w:rFonts w:ascii="Times New Roman" w:eastAsia="Times New Roman" w:hAnsi="Times New Roman" w:cs="Times New Roman"/>
          <w:color w:val="000000" w:themeColor="text1"/>
          <w:sz w:val="24"/>
          <w:szCs w:val="24"/>
          <w:lang w:val="es-ES_tradnl" w:eastAsia="es-ES" w:bidi="th-TH"/>
        </w:rPr>
        <w:t>Este vínculo de oración entre nosotros y los santos, es decir, entre nosotros y personas que han alcanzado la plenitud de la vida, este vínculo de oración lo experimentamos ya aquí, en la vida terrena: oramos los unos por los otros, pedimos y ofrecemos oraciones</w:t>
      </w:r>
      <w:r w:rsidR="002531B0">
        <w:rPr>
          <w:rFonts w:ascii="Times New Roman" w:eastAsia="Times New Roman" w:hAnsi="Times New Roman" w:cs="Times New Roman"/>
          <w:color w:val="000000" w:themeColor="text1"/>
          <w:sz w:val="24"/>
          <w:szCs w:val="24"/>
          <w:lang w:val="es-ES_tradnl" w:eastAsia="es-ES" w:bidi="th-TH"/>
        </w:rPr>
        <w:t>…</w:t>
      </w:r>
      <w:r w:rsidRPr="00D26B3C">
        <w:rPr>
          <w:rFonts w:ascii="Times New Roman" w:eastAsia="Times New Roman" w:hAnsi="Times New Roman" w:cs="Times New Roman"/>
          <w:color w:val="000000" w:themeColor="text1"/>
          <w:sz w:val="24"/>
          <w:szCs w:val="24"/>
          <w:lang w:val="es-ES_tradnl" w:eastAsia="es-ES" w:bidi="th-TH"/>
        </w:rPr>
        <w:t xml:space="preserve"> La primera forma de rezar por alguien es hablar con Dios de él o de ella. Si lo hacemos con frecuencia, todos los días, nuestro corazón no se cierra, permanece abierto a los hermanos. Rezar por los demás es la primera forma de amarlos y nos empuja a una cercanía concreta. Incluso en los momentos de conflicto, una forma de resolver el conflicto, de suavizarlo, es rezar por la persona con la que estoy en conflicto. Y algo cambia con la oración. Lo primero que cambia es mi corazón, es mi actitud. El Señor lo cambia para hacer posible un encuentro, un nuevo encuentro y para evitar que el conflicto se convierta en una guerra sin fin.</w:t>
      </w:r>
    </w:p>
    <w:p w14:paraId="2FDAE613" w14:textId="61C6074F" w:rsidR="00D26B3C" w:rsidRPr="00D26B3C" w:rsidRDefault="00D26B3C" w:rsidP="00D26B3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26B3C">
        <w:rPr>
          <w:rFonts w:ascii="Times New Roman" w:eastAsia="Times New Roman" w:hAnsi="Times New Roman" w:cs="Times New Roman"/>
          <w:color w:val="000000" w:themeColor="text1"/>
          <w:sz w:val="24"/>
          <w:szCs w:val="24"/>
          <w:lang w:val="es-ES_tradnl" w:eastAsia="es-ES" w:bidi="th-TH"/>
        </w:rPr>
        <w:t xml:space="preserve">La primera forma de afrontar un momento de angustia es pedir a los hermanos, a los santos sobre todo, que recen por nosotros. ¡El nombre que nos dieron en el Bautismo no es una etiqueta ni una decoración! Suele ser el nombre de la Virgen, de un santo o de una santa, que no desean más que </w:t>
      </w:r>
      <w:r>
        <w:rPr>
          <w:rFonts w:ascii="Times New Roman" w:eastAsia="Times New Roman" w:hAnsi="Times New Roman" w:cs="Times New Roman"/>
          <w:color w:val="000000" w:themeColor="text1"/>
          <w:sz w:val="24"/>
          <w:szCs w:val="24"/>
          <w:lang w:val="es-ES_tradnl" w:eastAsia="es-ES" w:bidi="th-TH"/>
        </w:rPr>
        <w:t>«</w:t>
      </w:r>
      <w:r w:rsidRPr="00D26B3C">
        <w:rPr>
          <w:rFonts w:ascii="Times New Roman" w:eastAsia="Times New Roman" w:hAnsi="Times New Roman" w:cs="Times New Roman"/>
          <w:color w:val="000000" w:themeColor="text1"/>
          <w:sz w:val="24"/>
          <w:szCs w:val="24"/>
          <w:lang w:val="es-ES_tradnl" w:eastAsia="es-ES" w:bidi="th-TH"/>
        </w:rPr>
        <w:t>echarnos una mano</w:t>
      </w:r>
      <w:r>
        <w:rPr>
          <w:rFonts w:ascii="Times New Roman" w:eastAsia="Times New Roman" w:hAnsi="Times New Roman" w:cs="Times New Roman"/>
          <w:color w:val="000000" w:themeColor="text1"/>
          <w:sz w:val="24"/>
          <w:szCs w:val="24"/>
          <w:lang w:val="es-ES_tradnl" w:eastAsia="es-ES" w:bidi="th-TH"/>
        </w:rPr>
        <w:t>»</w:t>
      </w:r>
      <w:r w:rsidRPr="00D26B3C">
        <w:rPr>
          <w:rFonts w:ascii="Times New Roman" w:eastAsia="Times New Roman" w:hAnsi="Times New Roman" w:cs="Times New Roman"/>
          <w:color w:val="000000" w:themeColor="text1"/>
          <w:sz w:val="24"/>
          <w:szCs w:val="24"/>
          <w:lang w:val="es-ES_tradnl" w:eastAsia="es-ES" w:bidi="th-TH"/>
        </w:rPr>
        <w:t xml:space="preserve"> en la vida, echarnos una mano para obtener de Dios las gracias que más necesitamos. Si en nuestra vida las pruebas no han superado el colmo, si todavía somos capaces de perseverar, si a pesar de todo seguimos adelante con confianza, quizás todo esto, más que a nuestros méritos, se lo debemos a la intercesión de tantos santos, unos en el Cielo, otros peregrinos como nosotros en la tierra, que nos han protegido y acompañado porque todos sabemos que aquí en la tierra hay gente santa, hombres y mujeres santos que viven en santidad. Ellos no lo saben, nosotros tampoco lo sabemos, pero hay santos, santos de todos los días, santos escondidos o como me gusta decir los </w:t>
      </w:r>
      <w:r>
        <w:rPr>
          <w:rFonts w:ascii="Times New Roman" w:eastAsia="Times New Roman" w:hAnsi="Times New Roman" w:cs="Times New Roman"/>
          <w:color w:val="000000" w:themeColor="text1"/>
          <w:sz w:val="24"/>
          <w:szCs w:val="24"/>
          <w:lang w:val="es-ES_tradnl" w:eastAsia="es-ES" w:bidi="th-TH"/>
        </w:rPr>
        <w:t>«santos de la puerta de al lado»</w:t>
      </w:r>
      <w:r w:rsidRPr="00D26B3C">
        <w:rPr>
          <w:rFonts w:ascii="Times New Roman" w:eastAsia="Times New Roman" w:hAnsi="Times New Roman" w:cs="Times New Roman"/>
          <w:color w:val="000000" w:themeColor="text1"/>
          <w:sz w:val="24"/>
          <w:szCs w:val="24"/>
          <w:lang w:val="es-ES_tradnl" w:eastAsia="es-ES" w:bidi="th-TH"/>
        </w:rPr>
        <w:t>, los que viven con nosotros en la vida, que trabajan con nosotros y llevan una vida de santidad.</w:t>
      </w:r>
    </w:p>
    <w:p w14:paraId="62CBF546" w14:textId="6E22C9DA" w:rsidR="00F926F4" w:rsidRPr="00F926F4" w:rsidRDefault="00D26B3C" w:rsidP="00D26B3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26B3C">
        <w:rPr>
          <w:rFonts w:ascii="Times New Roman" w:eastAsia="Times New Roman" w:hAnsi="Times New Roman" w:cs="Times New Roman"/>
          <w:color w:val="000000" w:themeColor="text1"/>
          <w:sz w:val="24"/>
          <w:szCs w:val="24"/>
          <w:lang w:val="es-ES_tradnl" w:eastAsia="es-ES" w:bidi="th-TH"/>
        </w:rPr>
        <w:t xml:space="preserve">Bendito sea Jesucristo, único Salvador del mundo, junto con este inmenso florecimiento de santos y santas, que pueblan la tierra y que han hecho de su vida una alabanza a Dios. Porque —como afirmaba san Basilio— «el santo es para el Espíritu un lugar propio, ya que se ofrece a habitar con </w:t>
      </w:r>
      <w:r>
        <w:rPr>
          <w:rFonts w:ascii="Times New Roman" w:eastAsia="Times New Roman" w:hAnsi="Times New Roman" w:cs="Times New Roman"/>
          <w:color w:val="000000" w:themeColor="text1"/>
          <w:sz w:val="24"/>
          <w:szCs w:val="24"/>
          <w:lang w:val="es-ES_tradnl" w:eastAsia="es-ES" w:bidi="th-TH"/>
        </w:rPr>
        <w:t xml:space="preserve">Dios y es llamado templo suyo» </w:t>
      </w:r>
      <w:r w:rsidRPr="00D26B3C">
        <w:rPr>
          <w:rFonts w:ascii="Times New Roman" w:eastAsia="Times New Roman" w:hAnsi="Times New Roman" w:cs="Times New Roman"/>
          <w:color w:val="000000" w:themeColor="text1"/>
          <w:sz w:val="24"/>
          <w:szCs w:val="24"/>
          <w:lang w:val="es-ES_tradnl" w:eastAsia="es-ES" w:bidi="th-TH"/>
        </w:rPr>
        <w:t>(</w:t>
      </w:r>
      <w:r w:rsidRPr="00D26B3C">
        <w:rPr>
          <w:rFonts w:ascii="Times New Roman" w:eastAsia="Times New Roman" w:hAnsi="Times New Roman" w:cs="Times New Roman"/>
          <w:i/>
          <w:color w:val="000000" w:themeColor="text1"/>
          <w:sz w:val="24"/>
          <w:szCs w:val="24"/>
          <w:lang w:val="es-ES_tradnl" w:eastAsia="es-ES" w:bidi="th-TH"/>
        </w:rPr>
        <w:t>Liber de Spiritu Sancto</w:t>
      </w:r>
      <w:r w:rsidRPr="00D26B3C">
        <w:rPr>
          <w:rFonts w:ascii="Times New Roman" w:eastAsia="Times New Roman" w:hAnsi="Times New Roman" w:cs="Times New Roman"/>
          <w:color w:val="000000" w:themeColor="text1"/>
          <w:sz w:val="24"/>
          <w:szCs w:val="24"/>
          <w:lang w:val="es-ES_tradnl" w:eastAsia="es-ES" w:bidi="th-TH"/>
        </w:rPr>
        <w:t>, 26, 62: PG 32, 184A; cf. CCE, 2684).</w:t>
      </w:r>
    </w:p>
    <w:p w14:paraId="1D1970B1" w14:textId="7B0E9276" w:rsidR="00A403C4" w:rsidRPr="00A403C4" w:rsidRDefault="00A403C4" w:rsidP="00C050E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A403C4"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EE4C8" w14:textId="77777777" w:rsidR="00F01A8E" w:rsidRDefault="00F01A8E" w:rsidP="00D93000">
      <w:pPr>
        <w:spacing w:after="0" w:line="240" w:lineRule="auto"/>
      </w:pPr>
      <w:r>
        <w:separator/>
      </w:r>
    </w:p>
  </w:endnote>
  <w:endnote w:type="continuationSeparator" w:id="0">
    <w:p w14:paraId="6D574B0A" w14:textId="77777777" w:rsidR="00F01A8E" w:rsidRDefault="00F01A8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3704551C"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0D5CD7">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54781" w14:textId="77777777" w:rsidR="00F01A8E" w:rsidRDefault="00F01A8E" w:rsidP="00D93000">
      <w:pPr>
        <w:spacing w:after="0" w:line="240" w:lineRule="auto"/>
      </w:pPr>
      <w:r>
        <w:separator/>
      </w:r>
    </w:p>
  </w:footnote>
  <w:footnote w:type="continuationSeparator" w:id="0">
    <w:p w14:paraId="7A5151C3" w14:textId="77777777" w:rsidR="00F01A8E" w:rsidRDefault="00F01A8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D5CD7"/>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5573"/>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2D85"/>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15A"/>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1D7"/>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6FFF"/>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413D"/>
    <w:rsid w:val="00C050E8"/>
    <w:rsid w:val="00C06171"/>
    <w:rsid w:val="00C07778"/>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4711"/>
    <w:rsid w:val="00D251FC"/>
    <w:rsid w:val="00D25F1A"/>
    <w:rsid w:val="00D26B3C"/>
    <w:rsid w:val="00D2734B"/>
    <w:rsid w:val="00D32470"/>
    <w:rsid w:val="00D32C3B"/>
    <w:rsid w:val="00D32E9D"/>
    <w:rsid w:val="00D36145"/>
    <w:rsid w:val="00D42197"/>
    <w:rsid w:val="00D44BCC"/>
    <w:rsid w:val="00D453B6"/>
    <w:rsid w:val="00D46420"/>
    <w:rsid w:val="00D479AC"/>
    <w:rsid w:val="00D47A1C"/>
    <w:rsid w:val="00D52E6F"/>
    <w:rsid w:val="00D57767"/>
    <w:rsid w:val="00D61DEE"/>
    <w:rsid w:val="00D6327E"/>
    <w:rsid w:val="00D643E4"/>
    <w:rsid w:val="00D66489"/>
    <w:rsid w:val="00D673A1"/>
    <w:rsid w:val="00D74CF0"/>
    <w:rsid w:val="00D776BB"/>
    <w:rsid w:val="00D81FEE"/>
    <w:rsid w:val="00D8633E"/>
    <w:rsid w:val="00D903C6"/>
    <w:rsid w:val="00D909B1"/>
    <w:rsid w:val="00D93000"/>
    <w:rsid w:val="00D93A75"/>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B7541-FEAC-40C4-B294-E9A5C1C2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5870</Characters>
  <Application>Microsoft Office Word</Application>
  <DocSecurity>0</DocSecurity>
  <Lines>48</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07/04/2021</vt:lpstr>
      <vt:lpstr>audiència 17/06/2020</vt:lpstr>
    </vt:vector>
  </TitlesOfParts>
  <Manager/>
  <Company>Santa Sede</Company>
  <LinksUpToDate>false</LinksUpToDate>
  <CharactersWithSpaces>6886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07/04/2021</dc:title>
  <dc:subject>Catequesis sobre la oración: 28. Rezar en comunión con los santos</dc:subject>
  <dc:creator>papa Francisco</dc:creator>
  <cp:keywords/>
  <dc:description/>
  <cp:lastModifiedBy>Rosalia Gras</cp:lastModifiedBy>
  <cp:revision>2</cp:revision>
  <dcterms:created xsi:type="dcterms:W3CDTF">2021-04-09T11:16:00Z</dcterms:created>
  <dcterms:modified xsi:type="dcterms:W3CDTF">2021-04-09T11:16:00Z</dcterms:modified>
  <cp:category/>
</cp:coreProperties>
</file>